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C3" w:rsidRDefault="005F67DB">
      <w:r>
        <w:t>MENSAJES PARA REDES</w:t>
      </w:r>
    </w:p>
    <w:p w:rsidR="005F67DB" w:rsidRDefault="005F67DB"/>
    <w:p w:rsidR="005F67DB" w:rsidRDefault="005F67DB"/>
    <w:p w:rsidR="005F67DB" w:rsidRPr="00F850F7" w:rsidRDefault="005F67DB">
      <w:pPr>
        <w:rPr>
          <w:b/>
          <w:bCs/>
        </w:rPr>
      </w:pPr>
      <w:r w:rsidRPr="00F850F7">
        <w:rPr>
          <w:b/>
          <w:bCs/>
        </w:rPr>
        <w:t>TWITTER/X</w:t>
      </w:r>
    </w:p>
    <w:p w:rsidR="005F67DB" w:rsidRDefault="005F67DB"/>
    <w:p w:rsidR="005F67DB" w:rsidRDefault="005F67DB">
      <w:r>
        <w:t>1.</w:t>
      </w:r>
    </w:p>
    <w:p w:rsidR="005F67DB" w:rsidRDefault="005F67DB" w:rsidP="005F67DB">
      <w:r>
        <w:t xml:space="preserve">El último informe de </w:t>
      </w:r>
      <w:proofErr w:type="spellStart"/>
      <w:r>
        <w:t>Don’t</w:t>
      </w:r>
      <w:proofErr w:type="spellEnd"/>
      <w:r>
        <w:t xml:space="preserve"> Bank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Bomb</w:t>
      </w:r>
      <w:proofErr w:type="spellEnd"/>
      <w:r>
        <w:t xml:space="preserve"> revela que desde la entrada en vigor del TPAN ha disminuido el número de instituciones financieras que invierten en la industria de las armas nucleares.</w:t>
      </w:r>
    </w:p>
    <w:p w:rsidR="005F67DB" w:rsidRDefault="005F67DB" w:rsidP="005F67DB"/>
    <w:p w:rsidR="005F67DB" w:rsidRDefault="005F67DB" w:rsidP="005F67DB">
      <w:r>
        <w:t xml:space="preserve">Más </w:t>
      </w:r>
      <w:proofErr w:type="spellStart"/>
      <w:r>
        <w:t>info</w:t>
      </w:r>
      <w:proofErr w:type="spellEnd"/>
      <w:r>
        <w:t xml:space="preserve">: </w:t>
      </w:r>
      <w:hyperlink r:id="rId5" w:history="1">
        <w:r w:rsidRPr="00002557">
          <w:rPr>
            <w:rStyle w:val="Hipervnculo"/>
          </w:rPr>
          <w:t>https://desarmenuclear.org/disminuye-el-numero-de-entidades-financieras-que-respaldan-la-industria-de-las-armas-nucleares/</w:t>
        </w:r>
      </w:hyperlink>
    </w:p>
    <w:p w:rsidR="005F67DB" w:rsidRDefault="005F67DB" w:rsidP="005F67DB"/>
    <w:p w:rsidR="005F67DB" w:rsidRDefault="005F67DB" w:rsidP="005F67DB">
      <w:r>
        <w:t>#DBOTB #</w:t>
      </w:r>
      <w:proofErr w:type="spellStart"/>
      <w:r>
        <w:t>NuclearBan</w:t>
      </w:r>
      <w:proofErr w:type="spellEnd"/>
      <w:r>
        <w:t xml:space="preserve"> #</w:t>
      </w:r>
      <w:proofErr w:type="spellStart"/>
      <w:r>
        <w:t>DesarmeNuclearYa</w:t>
      </w:r>
      <w:proofErr w:type="spellEnd"/>
    </w:p>
    <w:p w:rsidR="005F67DB" w:rsidRDefault="005F67DB" w:rsidP="005F67DB"/>
    <w:p w:rsidR="005F67DB" w:rsidRDefault="005F67DB" w:rsidP="005F67DB"/>
    <w:p w:rsidR="005F67DB" w:rsidRDefault="005F67DB" w:rsidP="005F67DB">
      <w:r>
        <w:t>2.</w:t>
      </w:r>
    </w:p>
    <w:p w:rsidR="005F67DB" w:rsidRDefault="005F67DB" w:rsidP="005F67DB">
      <w:r>
        <w:t>Buenas noticias: disminuye el número de instituciones financieras que respaldan la industria de las armas nucleares según el informe “Inversiones Insostenibles”. 287 en 2023 frente a las 306 del año anterior.</w:t>
      </w:r>
    </w:p>
    <w:p w:rsidR="005F67DB" w:rsidRDefault="005F67DB" w:rsidP="005F67DB"/>
    <w:p w:rsidR="005F67DB" w:rsidRPr="005F67DB" w:rsidRDefault="005F67DB" w:rsidP="005F67DB">
      <w:hyperlink r:id="rId6" w:history="1">
        <w:r w:rsidRPr="00002557">
          <w:rPr>
            <w:rStyle w:val="Hipervnculo"/>
          </w:rPr>
          <w:t>https://desarmenuclear.org/disminuye-el-numero-de-entidades-financieras-que-respaldan-la-industria-de-las-armas-nucleares/</w:t>
        </w:r>
      </w:hyperlink>
    </w:p>
    <w:p w:rsidR="005F67DB" w:rsidRDefault="005F67DB" w:rsidP="005F67DB"/>
    <w:p w:rsidR="005F67DB" w:rsidRDefault="005F67DB" w:rsidP="005F67DB">
      <w:r>
        <w:t>#DBOTB #</w:t>
      </w:r>
      <w:proofErr w:type="spellStart"/>
      <w:r>
        <w:t>NuclearBan</w:t>
      </w:r>
      <w:proofErr w:type="spellEnd"/>
      <w:r>
        <w:t xml:space="preserve"> #</w:t>
      </w:r>
      <w:proofErr w:type="spellStart"/>
      <w:r>
        <w:t>DesarmeNuclearYa</w:t>
      </w:r>
      <w:proofErr w:type="spellEnd"/>
    </w:p>
    <w:p w:rsidR="005F67DB" w:rsidRDefault="005F67DB" w:rsidP="005F67DB"/>
    <w:p w:rsidR="00B65BC8" w:rsidRDefault="005F67DB" w:rsidP="00B65BC8">
      <w:r>
        <w:t xml:space="preserve">3. </w:t>
      </w:r>
    </w:p>
    <w:p w:rsidR="00B65BC8" w:rsidRPr="00B65BC8" w:rsidRDefault="00B65BC8" w:rsidP="00B65BC8">
      <w:r w:rsidRPr="00B65BC8">
        <w:t xml:space="preserve">El informe “Inversiones Insostenibles” revela </w:t>
      </w:r>
      <w:proofErr w:type="gramStart"/>
      <w:r w:rsidRPr="00B65BC8">
        <w:t>que</w:t>
      </w:r>
      <w:proofErr w:type="gramEnd"/>
      <w:r w:rsidRPr="00B65BC8">
        <w:t xml:space="preserve"> aunque es menor el número de inversores, la financiación a empresas que fabrican armas nucleares ha aumentado. Es hora de retirar el dinero de esta industria mortal.</w:t>
      </w:r>
    </w:p>
    <w:p w:rsidR="00B65BC8" w:rsidRPr="00B65BC8" w:rsidRDefault="00B65BC8" w:rsidP="00B65BC8"/>
    <w:p w:rsidR="00B65BC8" w:rsidRPr="00B65BC8" w:rsidRDefault="00B65BC8" w:rsidP="00B65BC8">
      <w:hyperlink r:id="rId7" w:history="1">
        <w:r w:rsidRPr="00002557">
          <w:rPr>
            <w:rStyle w:val="Hipervnculo"/>
          </w:rPr>
          <w:t>https://desarmenuclear.org/disminuye-el-numero-de-entidades-financieras-que-respaldan-la-industria-de-las-armas-nucleares</w:t>
        </w:r>
      </w:hyperlink>
      <w:r>
        <w:t xml:space="preserve"> </w:t>
      </w:r>
    </w:p>
    <w:p w:rsidR="00B65BC8" w:rsidRPr="00B65BC8" w:rsidRDefault="00B65BC8" w:rsidP="00B65BC8"/>
    <w:p w:rsidR="00B65BC8" w:rsidRPr="00B65BC8" w:rsidRDefault="00B65BC8" w:rsidP="00B65BC8">
      <w:r w:rsidRPr="00B65BC8">
        <w:t>#DBOTB #</w:t>
      </w:r>
      <w:proofErr w:type="spellStart"/>
      <w:r w:rsidRPr="00B65BC8">
        <w:t>Nuclearban</w:t>
      </w:r>
      <w:proofErr w:type="spellEnd"/>
      <w:r w:rsidRPr="00B65BC8">
        <w:t xml:space="preserve"> #</w:t>
      </w:r>
      <w:proofErr w:type="spellStart"/>
      <w:r w:rsidRPr="00B65BC8">
        <w:t>DesarmeNuclearYa</w:t>
      </w:r>
      <w:proofErr w:type="spellEnd"/>
    </w:p>
    <w:p w:rsidR="005F67DB" w:rsidRDefault="005F67DB" w:rsidP="00B65BC8"/>
    <w:p w:rsidR="00B65BC8" w:rsidRDefault="00B65BC8" w:rsidP="00B65BC8"/>
    <w:p w:rsidR="00B65BC8" w:rsidRPr="00F850F7" w:rsidRDefault="00B65BC8" w:rsidP="00B65BC8">
      <w:pPr>
        <w:rPr>
          <w:b/>
          <w:bCs/>
        </w:rPr>
      </w:pPr>
      <w:bookmarkStart w:id="0" w:name="_GoBack"/>
      <w:r w:rsidRPr="00F850F7">
        <w:rPr>
          <w:b/>
          <w:bCs/>
        </w:rPr>
        <w:t>INSTAGRAM</w:t>
      </w:r>
    </w:p>
    <w:bookmarkEnd w:id="0"/>
    <w:p w:rsidR="00B65BC8" w:rsidRDefault="00B65BC8" w:rsidP="00B65BC8"/>
    <w:p w:rsidR="00B65BC8" w:rsidRDefault="00B65BC8" w:rsidP="00B65BC8">
      <w:r>
        <w:t>1.</w:t>
      </w:r>
    </w:p>
    <w:p w:rsidR="00F850F7" w:rsidRDefault="00B65BC8" w:rsidP="00B65BC8">
      <w:pPr>
        <w:pStyle w:val="NormalWeb"/>
        <w:rPr>
          <w:color w:val="000000"/>
        </w:rPr>
      </w:pPr>
      <w:r>
        <w:rPr>
          <w:color w:val="000000"/>
        </w:rPr>
        <w:t xml:space="preserve">El dinero no debería </w:t>
      </w:r>
      <w:r>
        <w:rPr>
          <w:color w:val="000000"/>
        </w:rPr>
        <w:t xml:space="preserve">utilizarse para </w:t>
      </w:r>
      <w:r>
        <w:rPr>
          <w:color w:val="000000"/>
        </w:rPr>
        <w:t xml:space="preserve">financiar la destrucción masiva. Consulta el último informe de </w:t>
      </w:r>
      <w:proofErr w:type="spellStart"/>
      <w:r>
        <w:rPr>
          <w:color w:val="000000"/>
        </w:rPr>
        <w:t>Don't</w:t>
      </w:r>
      <w:proofErr w:type="spellEnd"/>
      <w:r>
        <w:rPr>
          <w:color w:val="000000"/>
        </w:rPr>
        <w:t xml:space="preserve"> Bank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Bomb</w:t>
      </w:r>
      <w:proofErr w:type="spellEnd"/>
      <w:r>
        <w:rPr>
          <w:color w:val="000000"/>
        </w:rPr>
        <w:t xml:space="preserve"> "</w:t>
      </w:r>
      <w:r>
        <w:rPr>
          <w:color w:val="000000"/>
        </w:rPr>
        <w:t>Inversiones insostenibles</w:t>
      </w:r>
      <w:r>
        <w:rPr>
          <w:color w:val="000000"/>
        </w:rPr>
        <w:t>" para saber más sobre las instituciones financieras que apuestan por las</w:t>
      </w:r>
      <w:r>
        <w:rPr>
          <w:color w:val="000000"/>
        </w:rPr>
        <w:t xml:space="preserve"> compañías implicadas en la fabricación de</w:t>
      </w:r>
      <w:r>
        <w:rPr>
          <w:color w:val="000000"/>
        </w:rPr>
        <w:t xml:space="preserve"> armas nucleares. </w:t>
      </w:r>
    </w:p>
    <w:p w:rsidR="00B65BC8" w:rsidRDefault="00B65BC8" w:rsidP="00B65BC8">
      <w:pPr>
        <w:pStyle w:val="NormalWeb"/>
        <w:rPr>
          <w:color w:val="000000"/>
        </w:rPr>
      </w:pPr>
      <w:r>
        <w:rPr>
          <w:color w:val="000000"/>
        </w:rPr>
        <w:lastRenderedPageBreak/>
        <w:t>También hay buenas noticias:</w:t>
      </w:r>
      <w:r>
        <w:rPr>
          <w:color w:val="000000"/>
        </w:rPr>
        <w:t xml:space="preserve"> </w:t>
      </w:r>
      <w:r>
        <w:rPr>
          <w:color w:val="000000"/>
        </w:rPr>
        <w:t xml:space="preserve">cada vez son menos las </w:t>
      </w:r>
      <w:r>
        <w:rPr>
          <w:color w:val="000000"/>
        </w:rPr>
        <w:t xml:space="preserve">instituciones financieras que apoyan </w:t>
      </w:r>
      <w:r>
        <w:rPr>
          <w:color w:val="000000"/>
        </w:rPr>
        <w:t>la industria de las armas nucleares, su número desciende por tercer año consecutivo</w:t>
      </w:r>
      <w:r w:rsidR="00F850F7">
        <w:rPr>
          <w:color w:val="000000"/>
        </w:rPr>
        <w:t>,</w:t>
      </w:r>
      <w:r>
        <w:rPr>
          <w:color w:val="000000"/>
        </w:rPr>
        <w:t xml:space="preserve"> el mismo tiempo desde que </w:t>
      </w:r>
      <w:r>
        <w:rPr>
          <w:color w:val="000000"/>
        </w:rPr>
        <w:t xml:space="preserve">el </w:t>
      </w:r>
      <w:r>
        <w:rPr>
          <w:color w:val="000000"/>
        </w:rPr>
        <w:t>TPAN entró en vigor</w:t>
      </w:r>
      <w:r w:rsidR="00F850F7">
        <w:rPr>
          <w:color w:val="000000"/>
        </w:rPr>
        <w:t>.</w:t>
      </w:r>
    </w:p>
    <w:p w:rsidR="00F850F7" w:rsidRPr="00F850F7" w:rsidRDefault="00F850F7" w:rsidP="00F850F7">
      <w:pPr>
        <w:rPr>
          <w:rFonts w:ascii="Times New Roman" w:eastAsia="Times New Roman" w:hAnsi="Times New Roman" w:cs="Times New Roman"/>
          <w:lang w:val="en-US"/>
        </w:rPr>
      </w:pPr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#DBOTB #</w:t>
      </w:r>
      <w:proofErr w:type="spellStart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NuclearBan</w:t>
      </w:r>
      <w:proofErr w:type="spellEnd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#</w:t>
      </w:r>
      <w:proofErr w:type="spellStart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DesarmeNucle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arYa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#</w:t>
      </w:r>
      <w:proofErr w:type="spellStart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ESGInvestment</w:t>
      </w:r>
      <w:proofErr w:type="spellEnd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#Divestment #</w:t>
      </w:r>
      <w:proofErr w:type="spellStart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SustainableFinance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InversionesSostenibles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</w:p>
    <w:p w:rsidR="00F850F7" w:rsidRDefault="00F850F7" w:rsidP="00B65BC8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2.</w:t>
      </w:r>
    </w:p>
    <w:p w:rsidR="00F850F7" w:rsidRDefault="00F850F7" w:rsidP="00B65BC8">
      <w:pPr>
        <w:pStyle w:val="NormalWeb"/>
        <w:rPr>
          <w:color w:val="000000"/>
        </w:rPr>
      </w:pPr>
      <w:r w:rsidRPr="00F850F7">
        <w:rPr>
          <w:color w:val="000000"/>
        </w:rPr>
        <w:t xml:space="preserve">Buenas noticias: un nuevo informe de </w:t>
      </w:r>
      <w:proofErr w:type="spellStart"/>
      <w:r w:rsidRPr="00F850F7">
        <w:rPr>
          <w:color w:val="000000"/>
        </w:rPr>
        <w:t>Don</w:t>
      </w:r>
      <w:r>
        <w:rPr>
          <w:color w:val="000000"/>
        </w:rPr>
        <w:t>’t</w:t>
      </w:r>
      <w:proofErr w:type="spellEnd"/>
      <w:r>
        <w:rPr>
          <w:color w:val="000000"/>
        </w:rPr>
        <w:t xml:space="preserve"> Bank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Bomb</w:t>
      </w:r>
      <w:proofErr w:type="spellEnd"/>
      <w:r>
        <w:rPr>
          <w:color w:val="000000"/>
        </w:rPr>
        <w:t xml:space="preserve"> revela que el número de instituciones financieras que inversiones significativas en compañías involucradas en la producción de armas nucleares bajó de 306 a 287 en 2023. </w:t>
      </w:r>
    </w:p>
    <w:p w:rsidR="00F850F7" w:rsidRDefault="00F850F7" w:rsidP="00B65BC8">
      <w:pPr>
        <w:pStyle w:val="NormalWeb"/>
        <w:rPr>
          <w:color w:val="000000"/>
        </w:rPr>
      </w:pPr>
      <w:r>
        <w:rPr>
          <w:color w:val="000000"/>
        </w:rPr>
        <w:t>Cada año desde el #TPAN entró en vigor, el número de inversores ha disminuido.</w:t>
      </w:r>
    </w:p>
    <w:p w:rsidR="00F850F7" w:rsidRPr="00F850F7" w:rsidRDefault="00F850F7" w:rsidP="00F850F7">
      <w:pPr>
        <w:rPr>
          <w:rFonts w:ascii="Times New Roman" w:eastAsia="Times New Roman" w:hAnsi="Times New Roman" w:cs="Times New Roman"/>
          <w:lang w:val="en-US"/>
        </w:rPr>
      </w:pPr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#DBOTB #</w:t>
      </w:r>
      <w:proofErr w:type="spellStart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NuclearBan</w:t>
      </w:r>
      <w:proofErr w:type="spellEnd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#</w:t>
      </w:r>
      <w:proofErr w:type="spellStart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DesarmeNucle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arYa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#</w:t>
      </w:r>
      <w:proofErr w:type="spellStart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ESGInvestment</w:t>
      </w:r>
      <w:proofErr w:type="spellEnd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#Divestment #</w:t>
      </w:r>
      <w:proofErr w:type="spellStart"/>
      <w:r w:rsidRPr="00F850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SustainableFinance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InversionesSostenibles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</w:p>
    <w:p w:rsidR="00F850F7" w:rsidRPr="00F850F7" w:rsidRDefault="00F850F7" w:rsidP="00B65BC8">
      <w:pPr>
        <w:pStyle w:val="NormalWeb"/>
        <w:rPr>
          <w:color w:val="000000"/>
          <w:lang w:val="en-US"/>
        </w:rPr>
      </w:pPr>
    </w:p>
    <w:p w:rsidR="00F850F7" w:rsidRPr="00F850F7" w:rsidRDefault="00F850F7" w:rsidP="00B65BC8">
      <w:pPr>
        <w:pStyle w:val="NormalWeb"/>
        <w:rPr>
          <w:color w:val="000000"/>
          <w:lang w:val="en-US"/>
        </w:rPr>
      </w:pPr>
    </w:p>
    <w:p w:rsidR="00B65BC8" w:rsidRPr="00F850F7" w:rsidRDefault="00B65BC8" w:rsidP="00B65BC8">
      <w:pPr>
        <w:rPr>
          <w:lang w:val="en-US"/>
        </w:rPr>
      </w:pPr>
    </w:p>
    <w:sectPr w:rsidR="00B65BC8" w:rsidRPr="00F850F7" w:rsidSect="0047011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C1AD4"/>
    <w:multiLevelType w:val="hybridMultilevel"/>
    <w:tmpl w:val="A39C028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DB"/>
    <w:rsid w:val="002D77C3"/>
    <w:rsid w:val="0047011F"/>
    <w:rsid w:val="005F67DB"/>
    <w:rsid w:val="00B65BC8"/>
    <w:rsid w:val="00F8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3D420"/>
  <w15:chartTrackingRefBased/>
  <w15:docId w15:val="{8873E861-207B-D341-B509-E88B1B32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67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67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67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5B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sarmenuclear.org/disminuye-el-numero-de-entidades-financieras-que-respaldan-la-industria-de-las-armas-nuclea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sarmenuclear.org/disminuye-el-numero-de-entidades-financieras-que-respaldan-la-industria-de-las-armas-nucleares/" TargetMode="External"/><Relationship Id="rId5" Type="http://schemas.openxmlformats.org/officeDocument/2006/relationships/hyperlink" Target="https://desarmenuclear.org/disminuye-el-numero-de-entidades-financieras-que-respaldan-la-industria-de-las-armas-nuclear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2024-02-21T18:16:00Z</dcterms:created>
  <dcterms:modified xsi:type="dcterms:W3CDTF">2024-02-21T18:42:00Z</dcterms:modified>
</cp:coreProperties>
</file>