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AFA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1"/>
        <w:tblW w:w="902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29"/>
      </w:tblGrid>
      <w:tr w:rsidR="00317AFA">
        <w:trPr>
          <w:jc w:val="center"/>
        </w:trPr>
        <w:tc>
          <w:tcPr>
            <w:tcW w:w="9029" w:type="dxa"/>
            <w:tcBorders>
              <w:top w:val="single" w:sz="8" w:space="0" w:color="4C1130"/>
              <w:left w:val="single" w:sz="8" w:space="0" w:color="4C1130"/>
              <w:bottom w:val="single" w:sz="8" w:space="0" w:color="4C1130"/>
              <w:right w:val="single" w:sz="8" w:space="0" w:color="4C113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134F" w:rsidRDefault="00201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REUNIÓN PRESENCIAL I ENCUENTRO ALIANZA (RIVAS VACIAMADRID)</w:t>
            </w:r>
          </w:p>
          <w:p w:rsidR="00317AFA" w:rsidRDefault="00252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FECHA: </w:t>
            </w:r>
            <w:r w:rsidR="0020134F">
              <w:rPr>
                <w:color w:val="000000"/>
              </w:rPr>
              <w:t>28</w:t>
            </w:r>
            <w:r w:rsidR="00243F1A">
              <w:rPr>
                <w:color w:val="000000"/>
              </w:rPr>
              <w:t xml:space="preserve"> de </w:t>
            </w:r>
            <w:r w:rsidR="00E348E0">
              <w:rPr>
                <w:color w:val="000000"/>
              </w:rPr>
              <w:t>septiembre</w:t>
            </w:r>
            <w:r w:rsidR="00243F1A">
              <w:rPr>
                <w:color w:val="000000"/>
              </w:rPr>
              <w:t xml:space="preserve"> de 2024</w:t>
            </w:r>
          </w:p>
        </w:tc>
      </w:tr>
      <w:tr w:rsidR="00317AFA">
        <w:trPr>
          <w:jc w:val="center"/>
        </w:trPr>
        <w:tc>
          <w:tcPr>
            <w:tcW w:w="9029" w:type="dxa"/>
            <w:tcBorders>
              <w:top w:val="single" w:sz="8" w:space="0" w:color="4C1130"/>
              <w:left w:val="single" w:sz="8" w:space="0" w:color="4C1130"/>
              <w:bottom w:val="single" w:sz="4" w:space="0" w:color="000000"/>
              <w:right w:val="single" w:sz="8" w:space="0" w:color="4C113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7AFA" w:rsidRDefault="00252B0B" w:rsidP="00201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ASISTENTES</w:t>
            </w:r>
            <w:r w:rsidR="0020134F">
              <w:rPr>
                <w:color w:val="000000"/>
              </w:rPr>
              <w:t xml:space="preserve"> GRUPO MOTOR</w:t>
            </w:r>
            <w:r>
              <w:rPr>
                <w:color w:val="000000"/>
              </w:rPr>
              <w:t xml:space="preserve">: </w:t>
            </w:r>
            <w:r w:rsidR="0020134F">
              <w:rPr>
                <w:color w:val="000000"/>
              </w:rPr>
              <w:t xml:space="preserve">Pablo, Juana, Tica, Ana, Maribel, Carlos, Carme, Fidel Yolanda </w:t>
            </w:r>
            <w:proofErr w:type="spellStart"/>
            <w:r w:rsidR="0020134F">
              <w:rPr>
                <w:color w:val="000000"/>
              </w:rPr>
              <w:t>Enriquel</w:t>
            </w:r>
            <w:proofErr w:type="spellEnd"/>
            <w:r w:rsidR="0020134F">
              <w:rPr>
                <w:color w:val="000000"/>
              </w:rPr>
              <w:t>, Javi</w:t>
            </w:r>
          </w:p>
          <w:p w:rsidR="0020134F" w:rsidRDefault="0020134F" w:rsidP="00201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20134F" w:rsidRDefault="0020134F" w:rsidP="00201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ASISTENTES ENTIDADES: Javier Alonso (Justicia y Paz), Ovidio (</w:t>
            </w:r>
            <w:proofErr w:type="spellStart"/>
            <w:r>
              <w:rPr>
                <w:color w:val="000000"/>
              </w:rPr>
              <w:t>Yayoflautas</w:t>
            </w:r>
            <w:proofErr w:type="spellEnd"/>
            <w:r>
              <w:rPr>
                <w:color w:val="000000"/>
              </w:rPr>
              <w:t xml:space="preserve">), Simona </w:t>
            </w:r>
            <w:proofErr w:type="spellStart"/>
            <w:r>
              <w:rPr>
                <w:color w:val="000000"/>
              </w:rPr>
              <w:t>Perfetti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Soka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Gakkai</w:t>
            </w:r>
            <w:proofErr w:type="spellEnd"/>
            <w:r>
              <w:rPr>
                <w:color w:val="000000"/>
              </w:rPr>
              <w:t xml:space="preserve">), Lourdes </w:t>
            </w:r>
            <w:proofErr w:type="spellStart"/>
            <w:r>
              <w:rPr>
                <w:color w:val="000000"/>
              </w:rPr>
              <w:t>Vergés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Fundipau</w:t>
            </w:r>
            <w:proofErr w:type="spellEnd"/>
            <w:r>
              <w:rPr>
                <w:color w:val="000000"/>
              </w:rPr>
              <w:t>), Mario Esteban (Amnistía Internacional Madrid)</w:t>
            </w:r>
          </w:p>
          <w:p w:rsidR="00317AFA" w:rsidRDefault="00317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17AFA" w:rsidTr="00826FC3">
        <w:trPr>
          <w:jc w:val="center"/>
        </w:trPr>
        <w:tc>
          <w:tcPr>
            <w:tcW w:w="9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17AFA" w:rsidRDefault="00317AFA">
            <w:pPr>
              <w:widowControl w:val="0"/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317AFA" w:rsidRPr="00C60220" w:rsidRDefault="00252B0B">
            <w:pPr>
              <w:widowControl w:val="0"/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  <w:r w:rsidRPr="00C60220">
              <w:rPr>
                <w:b/>
                <w:bCs/>
                <w:color w:val="000000"/>
              </w:rPr>
              <w:t xml:space="preserve">1. </w:t>
            </w:r>
            <w:r w:rsidR="0020134F">
              <w:rPr>
                <w:b/>
                <w:bCs/>
                <w:color w:val="000000"/>
              </w:rPr>
              <w:t>PRESENTACIONES</w:t>
            </w:r>
          </w:p>
          <w:p w:rsidR="00317AFA" w:rsidRPr="00597DCB" w:rsidRDefault="00317AFA">
            <w:pPr>
              <w:rPr>
                <w:color w:val="000000"/>
              </w:rPr>
            </w:pPr>
          </w:p>
          <w:p w:rsidR="00EA4E13" w:rsidRPr="00FA1E90" w:rsidRDefault="0020134F" w:rsidP="00FA1E90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A1E90">
              <w:rPr>
                <w:rFonts w:cs="Arial"/>
                <w:color w:val="000000"/>
                <w:szCs w:val="22"/>
              </w:rPr>
              <w:t>Asiste a la reunión Mario Esteban, activista voluntario de Amnistía Internacional Madrid en calidad de observador. Cuenta que está creciendo dentro de las bases de Amnistía el movimiento en favor del TPAN y de que AI pida al Gobierno que firme el TPAN. Según dice, ya es una posición oficial del Secretariado Estatal.</w:t>
            </w:r>
            <w:r w:rsidR="00FA1E90" w:rsidRPr="00FA1E90">
              <w:rPr>
                <w:rFonts w:cs="Arial"/>
                <w:color w:val="000000"/>
                <w:szCs w:val="22"/>
              </w:rPr>
              <w:t xml:space="preserve"> Indagará sobre las posibilidades de incorporación de Amnistía a la Alianza.</w:t>
            </w:r>
          </w:p>
          <w:p w:rsidR="00EA4E13" w:rsidRPr="00EA4E13" w:rsidRDefault="00EA4E13" w:rsidP="00EA4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07AC9" w:rsidRPr="00597DCB" w:rsidRDefault="00807AC9" w:rsidP="00807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17AFA" w:rsidRPr="00597DCB" w:rsidRDefault="00317AFA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17AFA" w:rsidRPr="00C60220" w:rsidRDefault="00252B0B">
            <w:pPr>
              <w:widowControl w:val="0"/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000000"/>
              </w:rPr>
            </w:pPr>
            <w:r w:rsidRPr="00C60220">
              <w:rPr>
                <w:b/>
                <w:bCs/>
                <w:color w:val="000000"/>
              </w:rPr>
              <w:t xml:space="preserve">2. </w:t>
            </w:r>
            <w:r w:rsidR="00FA1E90">
              <w:rPr>
                <w:b/>
                <w:bCs/>
                <w:color w:val="000000"/>
              </w:rPr>
              <w:t>INCIDENCIA – CARTA ALBARES</w:t>
            </w:r>
          </w:p>
          <w:p w:rsidR="00317AFA" w:rsidRPr="00597DCB" w:rsidRDefault="00317AFA">
            <w:pPr>
              <w:rPr>
                <w:color w:val="000000"/>
              </w:rPr>
            </w:pPr>
          </w:p>
          <w:p w:rsidR="00EA4E13" w:rsidRDefault="00FA1E90" w:rsidP="00FA1E90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Se debate si se puede compartir o publicar la carta del ministro Albares como tal. Carlos la ha compartido con la alcaldesa de Rivas y con </w:t>
            </w:r>
            <w:proofErr w:type="spellStart"/>
            <w:r>
              <w:rPr>
                <w:rFonts w:cs="Arial"/>
                <w:color w:val="000000"/>
                <w:szCs w:val="22"/>
              </w:rPr>
              <w:t>Bustinduy</w:t>
            </w:r>
            <w:proofErr w:type="spellEnd"/>
            <w:r>
              <w:rPr>
                <w:rFonts w:cs="Arial"/>
                <w:color w:val="000000"/>
                <w:szCs w:val="22"/>
              </w:rPr>
              <w:t>. ¿Riesgo de que la utilicen y nos puedan instrumentalizar en sus luchas?</w:t>
            </w:r>
          </w:p>
          <w:p w:rsidR="00FA1E90" w:rsidRPr="00597DCB" w:rsidRDefault="00FA1E90" w:rsidP="00FA1E90">
            <w:pPr>
              <w:pStyle w:val="Prrafodelista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2"/>
              </w:rPr>
            </w:pPr>
            <w:r w:rsidRPr="00FA1E90">
              <w:rPr>
                <w:rFonts w:cs="Arial"/>
                <w:color w:val="000000"/>
                <w:szCs w:val="22"/>
                <w:u w:val="single"/>
              </w:rPr>
              <w:t>Decisión</w:t>
            </w:r>
            <w:r>
              <w:rPr>
                <w:rFonts w:cs="Arial"/>
                <w:color w:val="000000"/>
                <w:szCs w:val="22"/>
              </w:rPr>
              <w:t xml:space="preserve">: no se publicará como tal pero sí las utilizaremos, tanto la del ministro como la de respuesta de la Alianza, para elaborar un documento con los argumentos oficiales y la </w:t>
            </w:r>
            <w:proofErr w:type="spellStart"/>
            <w:r>
              <w:rPr>
                <w:rFonts w:cs="Arial"/>
                <w:color w:val="000000"/>
                <w:szCs w:val="22"/>
              </w:rPr>
              <w:t>contraargumentación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que sea de utilidad de para las entidades, trabajo con ciudades, etc. Se trabajará en una reunión de grupo de lunes específica.</w:t>
            </w:r>
          </w:p>
        </w:tc>
      </w:tr>
      <w:tr w:rsidR="00C60220" w:rsidRPr="00085B92" w:rsidTr="00085B92">
        <w:trPr>
          <w:jc w:val="center"/>
        </w:trPr>
        <w:tc>
          <w:tcPr>
            <w:tcW w:w="9029" w:type="dxa"/>
            <w:tcBorders>
              <w:left w:val="single" w:sz="8" w:space="0" w:color="4C1130"/>
              <w:right w:val="single" w:sz="8" w:space="0" w:color="4C113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1016" w:rsidRDefault="00F61016" w:rsidP="00F61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</w:p>
          <w:p w:rsidR="00F61016" w:rsidRPr="00597DCB" w:rsidRDefault="00F61016" w:rsidP="00F61016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F61016" w:rsidRDefault="00F61016" w:rsidP="00F61016">
            <w:pPr>
              <w:rPr>
                <w:b/>
                <w:bCs/>
                <w:color w:val="000000"/>
              </w:rPr>
            </w:pPr>
          </w:p>
          <w:p w:rsidR="00F61016" w:rsidRDefault="00FA1E90" w:rsidP="00F610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INCIDENCIA - CIUDADES</w:t>
            </w:r>
          </w:p>
          <w:p w:rsidR="00F61016" w:rsidRDefault="00F61016" w:rsidP="00F61016">
            <w:pPr>
              <w:rPr>
                <w:b/>
                <w:bCs/>
                <w:color w:val="000000"/>
              </w:rPr>
            </w:pPr>
          </w:p>
          <w:p w:rsidR="00085B92" w:rsidRDefault="00FA1E90" w:rsidP="00F61016">
            <w:pPr>
              <w:pStyle w:val="Prrafodelista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Repasamos los objetivos sobre </w:t>
            </w:r>
            <w:proofErr w:type="spellStart"/>
            <w:r>
              <w:rPr>
                <w:color w:val="000000"/>
              </w:rPr>
              <w:t>Cities</w:t>
            </w:r>
            <w:proofErr w:type="spellEnd"/>
            <w:r>
              <w:rPr>
                <w:color w:val="000000"/>
              </w:rPr>
              <w:t xml:space="preserve"> Appeal que nos marcamos en la reunión presencial de junio en </w:t>
            </w:r>
            <w:proofErr w:type="spellStart"/>
            <w:r>
              <w:rPr>
                <w:color w:val="000000"/>
              </w:rPr>
              <w:t>Greepeace</w:t>
            </w:r>
            <w:proofErr w:type="spellEnd"/>
            <w:r>
              <w:rPr>
                <w:color w:val="000000"/>
              </w:rPr>
              <w:t xml:space="preserve"> para finales de 2025 (1 capital de provincia y 10 ayuntamientos)</w:t>
            </w:r>
            <w:r w:rsidR="00366B27">
              <w:rPr>
                <w:color w:val="000000"/>
              </w:rPr>
              <w:t>. El trabajo sobre esta campaña es una buena oportunidad para que las entidades aliadas más allá del grupo motor se involucren con la Alianza en algo muy concreto.</w:t>
            </w:r>
          </w:p>
          <w:p w:rsidR="00366B27" w:rsidRDefault="00366B27" w:rsidP="00366B27">
            <w:pPr>
              <w:pStyle w:val="Prrafodelista"/>
              <w:numPr>
                <w:ilvl w:val="1"/>
                <w:numId w:val="12"/>
              </w:num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Decisión: </w:t>
            </w:r>
            <w:r>
              <w:rPr>
                <w:color w:val="000000"/>
              </w:rPr>
              <w:t>se crea un grupo de trabajo ad hoc con carácter temporal para elaborar la estrategia, seleccionar los municipios con los que trabajar, ofrecer los materiales.</w:t>
            </w:r>
          </w:p>
          <w:p w:rsidR="00366B27" w:rsidRDefault="00366B27" w:rsidP="00366B27">
            <w:pPr>
              <w:pStyle w:val="Prrafodelista"/>
              <w:numPr>
                <w:ilvl w:val="1"/>
                <w:numId w:val="12"/>
              </w:numPr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Decisión 2: </w:t>
            </w:r>
            <w:r>
              <w:rPr>
                <w:color w:val="000000"/>
              </w:rPr>
              <w:t xml:space="preserve">aprovechar los contactos de las entidades locales para explorar vías para que los ayuntamientos que han firmado el </w:t>
            </w:r>
            <w:proofErr w:type="spellStart"/>
            <w:r>
              <w:rPr>
                <w:color w:val="000000"/>
              </w:rPr>
              <w:t>Cities</w:t>
            </w:r>
            <w:proofErr w:type="spellEnd"/>
            <w:r>
              <w:rPr>
                <w:color w:val="000000"/>
              </w:rPr>
              <w:t xml:space="preserve"> Appeal puedan colaborar con la Alianza en alguna vía de financiación.</w:t>
            </w:r>
          </w:p>
          <w:p w:rsidR="00FC1112" w:rsidRPr="00FC1112" w:rsidRDefault="00FC1112" w:rsidP="00FC1112">
            <w:pPr>
              <w:pStyle w:val="Prrafodelista"/>
              <w:rPr>
                <w:color w:val="000000"/>
              </w:rPr>
            </w:pPr>
          </w:p>
          <w:p w:rsidR="00366B27" w:rsidRDefault="00366B27" w:rsidP="0036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</w:p>
          <w:p w:rsidR="00366B27" w:rsidRPr="00597DCB" w:rsidRDefault="00366B27" w:rsidP="00366B27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66B27" w:rsidRDefault="00366B27" w:rsidP="00366B2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. INCIDENCIA - </w:t>
            </w:r>
            <w:r>
              <w:rPr>
                <w:b/>
                <w:bCs/>
                <w:color w:val="000000"/>
              </w:rPr>
              <w:t>PARLAMENTO</w:t>
            </w:r>
          </w:p>
          <w:p w:rsidR="00085B92" w:rsidRPr="00085B92" w:rsidRDefault="00085B92" w:rsidP="00085B92">
            <w:pPr>
              <w:pStyle w:val="Prrafodelista"/>
              <w:rPr>
                <w:color w:val="000000"/>
              </w:rPr>
            </w:pPr>
          </w:p>
          <w:p w:rsidR="00085B92" w:rsidRPr="00366B27" w:rsidRDefault="00366B27" w:rsidP="00085B92">
            <w:pPr>
              <w:pStyle w:val="Prrafodelista"/>
              <w:numPr>
                <w:ilvl w:val="1"/>
                <w:numId w:val="12"/>
              </w:numPr>
              <w:rPr>
                <w:color w:val="000000"/>
                <w:lang w:val="es-ES"/>
              </w:rPr>
            </w:pPr>
            <w:r>
              <w:rPr>
                <w:color w:val="000000"/>
                <w:u w:val="single"/>
              </w:rPr>
              <w:t xml:space="preserve">Decisión: </w:t>
            </w:r>
            <w:r>
              <w:rPr>
                <w:color w:val="000000"/>
              </w:rPr>
              <w:t xml:space="preserve">se considera que a menos que surja una posibilidad imprevista, en este momento no hay recursos ni capacidades para trabajar con grupos parlamentarios (PNL, preguntas parlamentarias, intervenir en alguna </w:t>
            </w:r>
            <w:proofErr w:type="spellStart"/>
            <w:r>
              <w:rPr>
                <w:color w:val="000000"/>
              </w:rPr>
              <w:t xml:space="preserve">comisión) </w:t>
            </w:r>
            <w:proofErr w:type="spellEnd"/>
            <w:r>
              <w:rPr>
                <w:color w:val="000000"/>
              </w:rPr>
              <w:t>en el último trimestre de 2024. Se aparca hasta 2025.</w:t>
            </w:r>
          </w:p>
          <w:p w:rsidR="00366B27" w:rsidRPr="00366B27" w:rsidRDefault="00366B27" w:rsidP="00085B92">
            <w:pPr>
              <w:pStyle w:val="Prrafodelista"/>
              <w:numPr>
                <w:ilvl w:val="1"/>
                <w:numId w:val="12"/>
              </w:numPr>
              <w:rPr>
                <w:color w:val="000000"/>
                <w:lang w:val="es-ES"/>
              </w:rPr>
            </w:pPr>
            <w:r>
              <w:rPr>
                <w:color w:val="000000"/>
                <w:u w:val="single"/>
              </w:rPr>
              <w:t>A tener en cuenta:</w:t>
            </w:r>
            <w:r>
              <w:rPr>
                <w:color w:val="000000"/>
                <w:lang w:val="es-ES"/>
              </w:rPr>
              <w:t xml:space="preserve"> trabajo de incidencia con Gobierno de cara a la Tercera Reunión de Estados Parte (marzo 2025</w:t>
            </w:r>
          </w:p>
          <w:p w:rsidR="00366B27" w:rsidRPr="00366B27" w:rsidRDefault="00366B27" w:rsidP="00366B27">
            <w:pPr>
              <w:rPr>
                <w:color w:val="000000"/>
                <w:lang w:val="es-ES"/>
              </w:rPr>
            </w:pPr>
          </w:p>
          <w:p w:rsidR="00366B27" w:rsidRDefault="00366B27" w:rsidP="0036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</w:p>
          <w:p w:rsidR="00366B27" w:rsidRDefault="00366B27" w:rsidP="00366B27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66B27" w:rsidRPr="00597DCB" w:rsidRDefault="00366B27" w:rsidP="00366B27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 VISITA HIBAKUSHA EN ENERO 2025</w:t>
            </w:r>
          </w:p>
          <w:p w:rsidR="00085B92" w:rsidRPr="00366B27" w:rsidRDefault="00085B92" w:rsidP="00085B92">
            <w:pPr>
              <w:rPr>
                <w:color w:val="000000"/>
                <w:lang w:val="es-ES"/>
              </w:rPr>
            </w:pPr>
          </w:p>
          <w:p w:rsidR="00C60220" w:rsidRDefault="00366B27" w:rsidP="00366B27">
            <w:pPr>
              <w:pStyle w:val="Prrafodelista"/>
              <w:numPr>
                <w:ilvl w:val="0"/>
                <w:numId w:val="13"/>
              </w:numPr>
              <w:rPr>
                <w:color w:val="000000"/>
                <w:lang w:val="es-ES"/>
              </w:rPr>
            </w:pPr>
            <w:r w:rsidRPr="00366B27">
              <w:rPr>
                <w:color w:val="000000"/>
                <w:lang w:val="es-ES"/>
              </w:rPr>
              <w:t xml:space="preserve">Confirmada la gira de </w:t>
            </w:r>
            <w:proofErr w:type="spellStart"/>
            <w:r w:rsidRPr="00366B27">
              <w:rPr>
                <w:color w:val="000000"/>
                <w:lang w:val="es-ES"/>
              </w:rPr>
              <w:t>hi</w:t>
            </w:r>
            <w:r>
              <w:rPr>
                <w:color w:val="000000"/>
                <w:lang w:val="es-ES"/>
              </w:rPr>
              <w:t>bakusha</w:t>
            </w:r>
            <w:proofErr w:type="spellEnd"/>
            <w:r>
              <w:rPr>
                <w:color w:val="000000"/>
                <w:lang w:val="es-ES"/>
              </w:rPr>
              <w:t xml:space="preserve"> en España en </w:t>
            </w:r>
            <w:proofErr w:type="gramStart"/>
            <w:r>
              <w:rPr>
                <w:color w:val="000000"/>
                <w:lang w:val="es-ES"/>
              </w:rPr>
              <w:t>enero</w:t>
            </w:r>
            <w:proofErr w:type="gramEnd"/>
            <w:r>
              <w:rPr>
                <w:color w:val="000000"/>
                <w:lang w:val="es-ES"/>
              </w:rPr>
              <w:t xml:space="preserve"> pero con las fechas por concretar (nuestra propuesta fue que vinieran a partir del 15 de enero). A tener en cuenta que enero es un mes sin actividad parlamentaria. Se podría plantear la reunión con alguna </w:t>
            </w:r>
            <w:proofErr w:type="gramStart"/>
            <w:r>
              <w:rPr>
                <w:color w:val="000000"/>
                <w:lang w:val="es-ES"/>
              </w:rPr>
              <w:t>comisión</w:t>
            </w:r>
            <w:proofErr w:type="gramEnd"/>
            <w:r>
              <w:rPr>
                <w:color w:val="000000"/>
                <w:lang w:val="es-ES"/>
              </w:rPr>
              <w:t xml:space="preserve"> pero habría iniciar los contactos desde ya para organizarlo.</w:t>
            </w:r>
          </w:p>
          <w:p w:rsidR="00366B27" w:rsidRPr="00085B92" w:rsidRDefault="00E84FA3" w:rsidP="00366B27">
            <w:pPr>
              <w:pStyle w:val="Prrafodelista"/>
              <w:numPr>
                <w:ilvl w:val="1"/>
                <w:numId w:val="13"/>
              </w:numPr>
              <w:rPr>
                <w:color w:val="000000"/>
                <w:lang w:val="es-ES"/>
              </w:rPr>
            </w:pPr>
            <w:r>
              <w:rPr>
                <w:color w:val="000000"/>
                <w:u w:val="single"/>
                <w:lang w:val="es-ES"/>
              </w:rPr>
              <w:t xml:space="preserve">Decisión: </w:t>
            </w:r>
            <w:r>
              <w:rPr>
                <w:color w:val="000000"/>
                <w:lang w:val="es-ES"/>
              </w:rPr>
              <w:t xml:space="preserve">la visita de </w:t>
            </w:r>
            <w:proofErr w:type="spellStart"/>
            <w:r>
              <w:rPr>
                <w:color w:val="000000"/>
                <w:lang w:val="es-ES"/>
              </w:rPr>
              <w:t>hibakusha</w:t>
            </w:r>
            <w:proofErr w:type="spellEnd"/>
            <w:r>
              <w:rPr>
                <w:color w:val="000000"/>
                <w:lang w:val="es-ES"/>
              </w:rPr>
              <w:t xml:space="preserve"> será la prioridad de este último trimestre y se trabajará directamente en el grupo de trabajo semanal de los lunes.</w:t>
            </w:r>
          </w:p>
        </w:tc>
      </w:tr>
      <w:tr w:rsidR="00E84FA3" w:rsidRPr="00085B92" w:rsidTr="00E84FA3">
        <w:trPr>
          <w:jc w:val="center"/>
        </w:trPr>
        <w:tc>
          <w:tcPr>
            <w:tcW w:w="9029" w:type="dxa"/>
            <w:tcBorders>
              <w:left w:val="single" w:sz="8" w:space="0" w:color="4C1130"/>
              <w:right w:val="single" w:sz="8" w:space="0" w:color="4C113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4FA3" w:rsidRDefault="00E84FA3" w:rsidP="00E84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</w:p>
        </w:tc>
      </w:tr>
      <w:tr w:rsidR="00E84FA3" w:rsidRPr="00085B92" w:rsidTr="00826FC3">
        <w:trPr>
          <w:jc w:val="center"/>
        </w:trPr>
        <w:tc>
          <w:tcPr>
            <w:tcW w:w="9029" w:type="dxa"/>
            <w:tcBorders>
              <w:left w:val="single" w:sz="8" w:space="0" w:color="4C1130"/>
              <w:bottom w:val="single" w:sz="4" w:space="0" w:color="auto"/>
              <w:right w:val="single" w:sz="8" w:space="0" w:color="4C113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4FA3" w:rsidRDefault="00E84FA3" w:rsidP="00E84FA3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:rsidR="00E84FA3" w:rsidRDefault="00E84FA3" w:rsidP="00E84FA3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 SOSTENIBILIDAD</w:t>
            </w:r>
          </w:p>
          <w:p w:rsidR="00E84FA3" w:rsidRPr="00597DCB" w:rsidRDefault="00E84FA3" w:rsidP="00E84FA3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84FA3" w:rsidRDefault="00E84FA3" w:rsidP="00E84FA3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  <w:r>
              <w:rPr>
                <w:color w:val="000000"/>
              </w:rPr>
              <w:t>Se debate cómo garantizar la continuidad de la Alianza a partir de febrero</w:t>
            </w:r>
            <w:r w:rsidR="00B43A69">
              <w:rPr>
                <w:color w:val="000000"/>
              </w:rPr>
              <w:t xml:space="preserve"> (a mediados de febrero acaban los fondos de Greenpeace para </w:t>
            </w:r>
            <w:proofErr w:type="spellStart"/>
            <w:r w:rsidR="00B43A69">
              <w:rPr>
                <w:color w:val="000000"/>
              </w:rPr>
              <w:t>Coordianción</w:t>
            </w:r>
            <w:proofErr w:type="spellEnd"/>
            <w:r w:rsidR="00B43A69">
              <w:rPr>
                <w:color w:val="000000"/>
              </w:rPr>
              <w:t>)</w:t>
            </w:r>
            <w:bookmarkStart w:id="0" w:name="_GoBack"/>
            <w:bookmarkEnd w:id="0"/>
            <w:r>
              <w:rPr>
                <w:color w:val="000000"/>
              </w:rPr>
              <w:t>, la necesidad de financiación y la conveniencia de constituirse en asociación para tener personalidad jurídica.</w:t>
            </w:r>
          </w:p>
          <w:p w:rsidR="00E84FA3" w:rsidRDefault="00E84FA3" w:rsidP="00E84FA3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  <w:r>
              <w:rPr>
                <w:color w:val="000000"/>
              </w:rPr>
              <w:t>La cantidad ideal de sostener la Alianza durante un año serían 35.000 euros; la mínima 20.000 euros.</w:t>
            </w:r>
          </w:p>
          <w:p w:rsidR="00E84FA3" w:rsidRDefault="00E84FA3" w:rsidP="00E84FA3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  <w:r>
              <w:rPr>
                <w:color w:val="000000"/>
              </w:rPr>
              <w:t>Maribel tiene dudas sobre la respuesta que pueda tener la llamada a las entidades para que aporten una cuota. Tica dice que eso nos permitirá saber qué entidades son socias y cuáles serán simplemente adheridas.</w:t>
            </w:r>
          </w:p>
          <w:p w:rsidR="00E84FA3" w:rsidRDefault="00E84FA3" w:rsidP="00E84FA3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  <w:r>
              <w:rPr>
                <w:color w:val="000000"/>
              </w:rPr>
              <w:t>DECISIONES:</w:t>
            </w:r>
          </w:p>
          <w:p w:rsidR="00E84FA3" w:rsidRDefault="00E84FA3" w:rsidP="00E84FA3">
            <w:pPr>
              <w:pStyle w:val="Prrafodelista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  <w:r>
              <w:rPr>
                <w:color w:val="000000"/>
              </w:rPr>
              <w:t>En el corto plazo, iniciar los trámites (envío de carta según calendario) a entidades alidadas para el pago de la cuota establecida.</w:t>
            </w:r>
          </w:p>
          <w:p w:rsidR="00E84FA3" w:rsidRDefault="00E84FA3" w:rsidP="00E84FA3">
            <w:pPr>
              <w:pStyle w:val="Prrafodelista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  <w:r>
              <w:rPr>
                <w:color w:val="000000"/>
              </w:rPr>
              <w:t>Se aprueba que la Alianza se constituya como entidad jurídica con la forma de Asociación para poder recibir fondos (públicos y privados). Tica se ofrece para crear una primera versión de los estatutos para solicitar el CIF de cara a una próxima reunión mensual para avanzar en el proceso.</w:t>
            </w:r>
          </w:p>
          <w:p w:rsidR="00E84FA3" w:rsidRDefault="0036565E" w:rsidP="00E84FA3">
            <w:pPr>
              <w:pStyle w:val="Prrafodelista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  <w:r>
              <w:rPr>
                <w:color w:val="000000"/>
              </w:rPr>
              <w:t>Elaborar una posible lista de donantes.</w:t>
            </w:r>
          </w:p>
          <w:p w:rsidR="0036565E" w:rsidRDefault="0036565E" w:rsidP="00E84FA3">
            <w:pPr>
              <w:pStyle w:val="Prrafodelista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Tantear a los ayuntamientos adheridos al </w:t>
            </w:r>
            <w:proofErr w:type="spellStart"/>
            <w:r>
              <w:rPr>
                <w:color w:val="000000"/>
              </w:rPr>
              <w:t>Cities</w:t>
            </w:r>
            <w:proofErr w:type="spellEnd"/>
            <w:r>
              <w:rPr>
                <w:color w:val="000000"/>
              </w:rPr>
              <w:t xml:space="preserve"> Appeal para que apoyen la Alianza con algún tipo de financiación.</w:t>
            </w:r>
          </w:p>
          <w:p w:rsidR="0036565E" w:rsidRPr="00E84FA3" w:rsidRDefault="0036565E" w:rsidP="00E84FA3">
            <w:pPr>
              <w:pStyle w:val="Prrafodelista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Propuesta de organizar una formación/taller de </w:t>
            </w:r>
            <w:proofErr w:type="spellStart"/>
            <w:r>
              <w:rPr>
                <w:color w:val="000000"/>
              </w:rPr>
              <w:t>fundraising</w:t>
            </w:r>
            <w:proofErr w:type="spellEnd"/>
            <w:r>
              <w:rPr>
                <w:color w:val="000000"/>
              </w:rPr>
              <w:t xml:space="preserve"> con las compañeras de Greenpeace para aprender técnicas de captación de fondos y salir con un plan de financiación.</w:t>
            </w:r>
          </w:p>
        </w:tc>
      </w:tr>
    </w:tbl>
    <w:p w:rsidR="00317AFA" w:rsidRPr="00085B92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s-ES"/>
        </w:rPr>
      </w:pPr>
    </w:p>
    <w:p w:rsidR="00317AFA" w:rsidRPr="00085B92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s-ES"/>
        </w:rPr>
      </w:pPr>
    </w:p>
    <w:p w:rsidR="00317AFA" w:rsidRPr="00085B92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s-ES"/>
        </w:rPr>
      </w:pPr>
    </w:p>
    <w:p w:rsidR="00755FCB" w:rsidRDefault="00252B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 w:themeColor="text1"/>
        </w:rPr>
      </w:pPr>
      <w:bookmarkStart w:id="1" w:name="_heading=h.30j0zll" w:colFirst="0" w:colLast="0"/>
      <w:bookmarkEnd w:id="1"/>
      <w:r w:rsidRPr="00755FCB">
        <w:rPr>
          <w:b/>
          <w:color w:val="000000" w:themeColor="text1"/>
        </w:rPr>
        <w:t>PRÓXIMA</w:t>
      </w:r>
      <w:r w:rsidR="0036565E">
        <w:rPr>
          <w:b/>
          <w:color w:val="000000" w:themeColor="text1"/>
        </w:rPr>
        <w:t>S</w:t>
      </w:r>
      <w:r w:rsidRPr="00755FCB">
        <w:rPr>
          <w:b/>
          <w:color w:val="000000" w:themeColor="text1"/>
        </w:rPr>
        <w:t xml:space="preserve"> REUNIÓN</w:t>
      </w:r>
      <w:r w:rsidR="0036565E">
        <w:rPr>
          <w:b/>
          <w:color w:val="000000" w:themeColor="text1"/>
        </w:rPr>
        <w:t>ES</w:t>
      </w:r>
      <w:r w:rsidRPr="00755FCB">
        <w:rPr>
          <w:b/>
          <w:color w:val="000000" w:themeColor="text1"/>
        </w:rPr>
        <w:t xml:space="preserve"> </w:t>
      </w:r>
    </w:p>
    <w:p w:rsidR="00317AFA" w:rsidRDefault="0036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FF0000"/>
        </w:rPr>
      </w:pPr>
      <w:r>
        <w:rPr>
          <w:b/>
          <w:color w:val="FF0000"/>
        </w:rPr>
        <w:t xml:space="preserve">9 de octubre </w:t>
      </w:r>
      <w:r w:rsidR="00252B0B">
        <w:rPr>
          <w:b/>
          <w:color w:val="FF0000"/>
        </w:rPr>
        <w:t>16:00h-17:30h</w:t>
      </w:r>
    </w:p>
    <w:p w:rsidR="0036565E" w:rsidRDefault="0036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FF0000"/>
        </w:rPr>
      </w:pPr>
      <w:r>
        <w:rPr>
          <w:b/>
          <w:color w:val="FF0000"/>
        </w:rPr>
        <w:t>13 de noviembre</w:t>
      </w:r>
    </w:p>
    <w:p w:rsidR="0036565E" w:rsidRDefault="0036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FF0000"/>
        </w:rPr>
      </w:pPr>
      <w:r>
        <w:rPr>
          <w:b/>
          <w:color w:val="FF0000"/>
        </w:rPr>
        <w:t>11 de diciembre</w:t>
      </w:r>
    </w:p>
    <w:p w:rsidR="0036565E" w:rsidRDefault="003656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FF0000"/>
        </w:rPr>
      </w:pPr>
      <w:r>
        <w:rPr>
          <w:b/>
          <w:color w:val="FF0000"/>
        </w:rPr>
        <w:t xml:space="preserve">8 de enero de </w:t>
      </w:r>
    </w:p>
    <w:p w:rsidR="00317AFA" w:rsidRDefault="00317A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FF0000"/>
        </w:rPr>
      </w:pPr>
    </w:p>
    <w:p w:rsidR="00317AFA" w:rsidRPr="005027EF" w:rsidRDefault="00252B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 w:themeColor="text1"/>
          <w:lang w:val="es-ES"/>
        </w:rPr>
      </w:pPr>
      <w:bookmarkStart w:id="2" w:name="_heading=h.gjdgxs" w:colFirst="0" w:colLast="0"/>
      <w:bookmarkEnd w:id="2"/>
      <w:r w:rsidRPr="005027EF">
        <w:rPr>
          <w:b/>
          <w:color w:val="000000" w:themeColor="text1"/>
          <w:lang w:val="es-ES"/>
        </w:rPr>
        <w:t>Enlace a Zoom</w:t>
      </w:r>
    </w:p>
    <w:p w:rsidR="00243F1A" w:rsidRDefault="00B43A69" w:rsidP="00243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hyperlink r:id="rId6" w:history="1">
        <w:r w:rsidR="00412EA2" w:rsidRPr="00F4346E">
          <w:rPr>
            <w:rStyle w:val="Hipervnculo"/>
          </w:rPr>
          <w:t>https://us02web.zoom.us/j/87234731826?pwd=SEFPOXBCMmVnc1J6a0ZxN25ybGNxZz09</w:t>
        </w:r>
      </w:hyperlink>
      <w:r w:rsidR="00412EA2">
        <w:t xml:space="preserve"> </w:t>
      </w:r>
    </w:p>
    <w:p w:rsidR="00412EA2" w:rsidRPr="005027EF" w:rsidRDefault="00412EA2" w:rsidP="00243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s-ES"/>
        </w:rPr>
      </w:pPr>
    </w:p>
    <w:p w:rsidR="00243F1A" w:rsidRPr="00755FCB" w:rsidRDefault="00243F1A" w:rsidP="00243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FF2600"/>
        </w:rPr>
      </w:pPr>
      <w:r w:rsidRPr="00755FCB">
        <w:rPr>
          <w:b/>
          <w:bCs/>
          <w:color w:val="FF2600"/>
        </w:rPr>
        <w:t>ID de reunión: 872 3473 1826</w:t>
      </w:r>
    </w:p>
    <w:p w:rsidR="00317AFA" w:rsidRPr="00755FCB" w:rsidRDefault="00243F1A" w:rsidP="00243F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FF2600"/>
        </w:rPr>
      </w:pPr>
      <w:r w:rsidRPr="00755FCB">
        <w:rPr>
          <w:b/>
          <w:bCs/>
          <w:color w:val="FF2600"/>
        </w:rPr>
        <w:t>Código de acceso: 916750</w:t>
      </w:r>
    </w:p>
    <w:sectPr w:rsidR="00317AFA" w:rsidRPr="00755FC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Linux Libertine G"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180"/>
    <w:multiLevelType w:val="hybridMultilevel"/>
    <w:tmpl w:val="380227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F7A"/>
    <w:multiLevelType w:val="hybridMultilevel"/>
    <w:tmpl w:val="FE3E30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A7C"/>
    <w:multiLevelType w:val="hybridMultilevel"/>
    <w:tmpl w:val="4E3E07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B5150"/>
    <w:multiLevelType w:val="multilevel"/>
    <w:tmpl w:val="44A62B6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B57BF1"/>
    <w:multiLevelType w:val="multilevel"/>
    <w:tmpl w:val="39A60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6C500F"/>
    <w:multiLevelType w:val="hybridMultilevel"/>
    <w:tmpl w:val="49B05E8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50C9"/>
    <w:multiLevelType w:val="multilevel"/>
    <w:tmpl w:val="D416CF6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FF1B33"/>
    <w:multiLevelType w:val="hybridMultilevel"/>
    <w:tmpl w:val="2A64AE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967C7"/>
    <w:multiLevelType w:val="hybridMultilevel"/>
    <w:tmpl w:val="62D612F2"/>
    <w:lvl w:ilvl="0" w:tplc="781AFB3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E20DC"/>
    <w:multiLevelType w:val="hybridMultilevel"/>
    <w:tmpl w:val="737AB2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7F6B"/>
    <w:multiLevelType w:val="hybridMultilevel"/>
    <w:tmpl w:val="19BCC5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E19FB"/>
    <w:multiLevelType w:val="hybridMultilevel"/>
    <w:tmpl w:val="8458A3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7D93"/>
    <w:multiLevelType w:val="multilevel"/>
    <w:tmpl w:val="7A6C26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FA"/>
    <w:rsid w:val="00085B92"/>
    <w:rsid w:val="00174E77"/>
    <w:rsid w:val="0020134F"/>
    <w:rsid w:val="00243F1A"/>
    <w:rsid w:val="00252B0B"/>
    <w:rsid w:val="00263661"/>
    <w:rsid w:val="00317AFA"/>
    <w:rsid w:val="0036565E"/>
    <w:rsid w:val="00366B27"/>
    <w:rsid w:val="00397EB8"/>
    <w:rsid w:val="00412EA2"/>
    <w:rsid w:val="005027EF"/>
    <w:rsid w:val="00587895"/>
    <w:rsid w:val="00597DCB"/>
    <w:rsid w:val="005A6B82"/>
    <w:rsid w:val="00617970"/>
    <w:rsid w:val="006F48DE"/>
    <w:rsid w:val="006F66EA"/>
    <w:rsid w:val="00755FCB"/>
    <w:rsid w:val="007858BD"/>
    <w:rsid w:val="00807AC9"/>
    <w:rsid w:val="00826FC3"/>
    <w:rsid w:val="008A3BA1"/>
    <w:rsid w:val="009C509D"/>
    <w:rsid w:val="00A87D61"/>
    <w:rsid w:val="00B43A69"/>
    <w:rsid w:val="00BA78F8"/>
    <w:rsid w:val="00C34CF8"/>
    <w:rsid w:val="00C60220"/>
    <w:rsid w:val="00CE47DE"/>
    <w:rsid w:val="00D51516"/>
    <w:rsid w:val="00D523B0"/>
    <w:rsid w:val="00E22019"/>
    <w:rsid w:val="00E348E0"/>
    <w:rsid w:val="00E84FA3"/>
    <w:rsid w:val="00EA2A54"/>
    <w:rsid w:val="00EA4E13"/>
    <w:rsid w:val="00F50CF4"/>
    <w:rsid w:val="00F61016"/>
    <w:rsid w:val="00FA1E90"/>
    <w:rsid w:val="00F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4CC6"/>
  <w15:docId w15:val="{382CE4B2-2F3F-BD40-BCB4-BE0DA4C3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eastAsia="Arial" w:cs="Arial"/>
      <w:b/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color w:val="0000EE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4">
    <w:name w:val="WWNum4"/>
    <w:basedOn w:val="Sinlista"/>
  </w:style>
  <w:style w:type="numbering" w:customStyle="1" w:styleId="WWNum5">
    <w:name w:val="WWNum5"/>
    <w:basedOn w:val="Sinlista"/>
  </w:style>
  <w:style w:type="numbering" w:customStyle="1" w:styleId="WWNum6">
    <w:name w:val="WWNum6"/>
    <w:basedOn w:val="Sinlista"/>
  </w:style>
  <w:style w:type="numbering" w:customStyle="1" w:styleId="WWNum7">
    <w:name w:val="WWNum7"/>
    <w:basedOn w:val="Sinlista"/>
  </w:style>
  <w:style w:type="paragraph" w:styleId="NormalWeb">
    <w:name w:val="Normal (Web)"/>
    <w:basedOn w:val="Normal"/>
    <w:uiPriority w:val="99"/>
    <w:unhideWhenUsed/>
    <w:rsid w:val="005B6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353B7E"/>
    <w:pPr>
      <w:ind w:left="720"/>
      <w:contextualSpacing/>
    </w:pPr>
    <w:rPr>
      <w:rFonts w:cs="Mangal"/>
      <w:szCs w:val="20"/>
    </w:rPr>
  </w:style>
  <w:style w:type="character" w:styleId="Hipervnculo">
    <w:name w:val="Hyperlink"/>
    <w:basedOn w:val="Fuentedeprrafopredeter"/>
    <w:uiPriority w:val="99"/>
    <w:unhideWhenUsed/>
    <w:rsid w:val="00663B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3B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009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F10C93"/>
  </w:style>
  <w:style w:type="character" w:styleId="Textoennegrita">
    <w:name w:val="Strong"/>
    <w:basedOn w:val="Fuentedeprrafopredeter"/>
    <w:uiPriority w:val="22"/>
    <w:qFormat/>
    <w:rsid w:val="00F10C93"/>
    <w:rPr>
      <w:b/>
      <w:bCs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apple-tab-span">
    <w:name w:val="apple-tab-span"/>
    <w:basedOn w:val="Fuentedeprrafopredeter"/>
    <w:rsid w:val="0059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7234731826?pwd=SEFPOXBCMmVnc1J6a0ZxN25ybGNx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2B80E4-85BB-7E49-AA5E-90280883D479}">
  <we:reference id="wa104380121" version="2.0.0.0" store="es-ES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fQYm/ZFTlUbRpDwP3CN8OaxgPw==">AMUW2mWKBaFcwRu9N/2uWOtA0wMR2Gy72vI9uX0LmJbzW31CXMaxhPSs2tZEsTHQE7dZRSC/p1BqdtoujoalGT924G0DLYVp1K9t69PXFo9P977J6v4r/fvO7gBIVi3FDkpCP/yA+y1yoFDNjA7zEl08GgyLQsXsnQ==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2024-10-09T09:19:00Z</dcterms:created>
  <dcterms:modified xsi:type="dcterms:W3CDTF">2024-10-09T09:20:00Z</dcterms:modified>
</cp:coreProperties>
</file>